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：</w:t>
      </w:r>
    </w:p>
    <w:tbl>
      <w:tblPr>
        <w:tblStyle w:val="2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12"/>
        <w:gridCol w:w="663"/>
        <w:gridCol w:w="1744"/>
        <w:gridCol w:w="1561"/>
        <w:gridCol w:w="1412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2020品牌吸引力会展城市申报表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8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申报方式：自荐□    推荐□ </w:t>
            </w:r>
            <w:r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城市概况（经济环境、人文环境、交通、住宿、旅游等）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城市会展业环境（服务政策、会展基建、会展市场容量、会展人才储备、会议与旅游等）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接、办大型会议/展览项目信息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面积/人数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同期活动场次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7CF"/>
    <w:rsid w:val="1D3F4C91"/>
    <w:rsid w:val="79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2020-09-22T03:07:00Z</dcterms:created>
  <dc:creator>牛东冉</dc:creator>
  <cp:lastModifiedBy>牛东冉</cp:lastModifiedBy>
  <dcterms:modified xsi:type="dcterms:W3CDTF">2020-09-22T03:50:15Z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